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b/>
          <w:sz w:val="44"/>
        </w:rPr>
        <w:t>西昌学院</w:t>
      </w:r>
      <w:r>
        <w:rPr>
          <w:rFonts w:hint="eastAsia"/>
          <w:b/>
          <w:sz w:val="44"/>
        </w:rPr>
        <w:t>维修项目</w:t>
      </w:r>
      <w:r>
        <w:rPr>
          <w:b/>
          <w:sz w:val="44"/>
        </w:rPr>
        <w:t>维保验收</w:t>
      </w:r>
      <w:r>
        <w:rPr>
          <w:rFonts w:hint="eastAsia"/>
          <w:b/>
          <w:sz w:val="44"/>
        </w:rPr>
        <w:t>记录</w:t>
      </w:r>
      <w:r>
        <w:rPr>
          <w:b/>
          <w:sz w:val="44"/>
        </w:rPr>
        <w:t>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工程名称：                                时间：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2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参加单位: 基本建设处（分管基建校领导）、施工单位、设计\监理单位、监察处和审计处、使用部门等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22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验收程序及方式：施工单位申请-设计\监理单位认可-基本建设处组织-监察处和审计处监督-使用单位参加；现场走访查看-查阅工程资料-讨论确定整改项目-形成维保验收结论等。备注：1、维保金2-10万元的，由基本建设处、使用单位、施工单位共同验收；2、维保金10万元及以上的工程项目由分管校领导组织，监察处和审计处监督；3、有设计或监理的需经其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69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整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容</w:t>
            </w:r>
          </w:p>
        </w:tc>
        <w:tc>
          <w:tcPr>
            <w:tcW w:w="7753" w:type="dxa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（内容填不下，可附页）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7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53" w:type="dxa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整改后情况：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8522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维保验收结论：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522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签名：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24C3C"/>
    <w:rsid w:val="7DB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Administrator</dc:creator>
  <cp:lastModifiedBy>Administrator</cp:lastModifiedBy>
  <dcterms:modified xsi:type="dcterms:W3CDTF">2017-11-09T03:04:56Z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